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80"/>
      </w:pPr>
      <w:r>
        <w:rPr>
          <w:rFonts w:ascii="Calibri" w:hAnsi="Calibri"/>
          <w:b/>
          <w:i w:val="0"/>
          <w:color w:val="101C34"/>
          <w:sz w:val="44"/>
        </w:rPr>
        <w:t>ОФЕРТА НА ЗАКЛЮЧЕНИЕ ДОГОВОРА</w:t>
      </w:r>
    </w:p>
    <w:p>
      <w:pPr>
        <w:spacing w:after="360"/>
      </w:pPr>
      <w:r>
        <w:rPr>
          <w:rFonts w:ascii="Calibri" w:hAnsi="Calibri"/>
          <w:b w:val="0"/>
          <w:i w:val="0"/>
          <w:color w:val="687184"/>
          <w:sz w:val="24"/>
        </w:rPr>
        <w:t>Возмездное оказание юридических услуг по взысканию задолженности</w:t>
      </w:r>
    </w:p>
    <w:tbl>
      <w:tblPr>
        <w:tblW w:type="dxa" w:w="9638"/>
        <w:jc w:val="left"/>
        <w:tblLayout w:type="fixed"/>
        <w:tblLook w:firstColumn="1" w:firstRow="1" w:lastColumn="0" w:lastRow="0" w:noHBand="0" w:noVBand="1" w:val="04A0"/>
        <w:tblInd w:w="120" w:type="dxa"/>
      </w:tblPr>
      <w:tblGrid>
        <w:gridCol w:w="2100"/>
        <w:gridCol w:w="7538"/>
      </w:tblGrid>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Редакция</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[НОМЕР / ДАТА РЕДАКЦИИ]</w:t>
            </w:r>
          </w:p>
        </w:tc>
      </w:tr>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Оферент</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ИП Зубченков Артем Владимирович</w:t>
            </w:r>
          </w:p>
        </w:tc>
      </w:tr>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Способы акцепта</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ЭДО с УКЭП или обмен подписанными документами по email</w:t>
            </w:r>
          </w:p>
        </w:tc>
      </w:tr>
      <w:tr>
        <w:tc>
          <w:tcPr>
            <w:tcW w:type="dxa" w:w="2100"/>
            <w:tcMar>
              <w:top w:w="80" w:type="dxa"/>
              <w:left w:w="120" w:type="dxa"/>
              <w:bottom w:w="80" w:type="dxa"/>
              <w:right w:w="120" w:type="dxa"/>
            </w:tcMar>
            <w:vAlign w:val="center"/>
            <w:shd w:fill="F2F4F7"/>
          </w:tcPr>
          <w:p>
            <w:pPr>
              <w:spacing w:after="0"/>
            </w:pPr>
            <w:r>
              <w:rPr>
                <w:rFonts w:ascii="Calibri" w:hAnsi="Calibri"/>
                <w:b/>
                <w:i w:val="0"/>
                <w:color w:val="687184"/>
                <w:sz w:val="18"/>
              </w:rPr>
              <w:t>Проект</w:t>
            </w:r>
          </w:p>
        </w:tc>
        <w:tc>
          <w:tcPr>
            <w:tcW w:type="dxa" w:w="7538"/>
            <w:tcMar>
              <w:top w:w="80" w:type="dxa"/>
              <w:left w:w="120" w:type="dxa"/>
              <w:bottom w:w="80" w:type="dxa"/>
              <w:right w:w="120" w:type="dxa"/>
            </w:tcMar>
            <w:vAlign w:val="center"/>
          </w:tcPr>
          <w:p>
            <w:pPr>
              <w:spacing w:after="0"/>
            </w:pPr>
            <w:r>
              <w:rPr>
                <w:rFonts w:ascii="Calibri" w:hAnsi="Calibri"/>
                <w:b w:val="0"/>
                <w:i w:val="0"/>
                <w:color w:val="101C34"/>
                <w:sz w:val="20"/>
              </w:rPr>
              <w:t>«Взыскано» — упрощённое взыскание задолженности для бизнеса</w:t>
            </w:r>
          </w:p>
        </w:tc>
      </w:tr>
    </w:tbl>
    <w:p>
      <w:pPr>
        <w:spacing w:after="0"/>
      </w:pPr>
    </w:p>
    <w:p>
      <w:pPr>
        <w:jc w:val="both"/>
      </w:pPr>
      <w:r>
        <w:rPr>
          <w:rFonts w:ascii="Calibri" w:hAnsi="Calibri"/>
          <w:b/>
          <w:i w:val="0"/>
          <w:color w:val="101C34"/>
          <w:sz w:val="22"/>
        </w:rPr>
        <w:t>Индивидуальный предприниматель Зубченков Артем Владимирович</w:t>
      </w:r>
      <w:r>
        <w:rPr>
          <w:rFonts w:ascii="Calibri" w:hAnsi="Calibri"/>
          <w:b w:val="0"/>
          <w:i w:val="0"/>
          <w:color w:val="101C34"/>
          <w:sz w:val="22"/>
        </w:rPr>
        <w:t>, ОГРНИП 317246800111031, ИНН 246508212448, именуемый далее «Исполнитель» или «Оферент», настоящим предлагает юридическому лицу или индивидуальному предпринимателю заключить договор возмездного оказания юридических услуг на изложенных ниже условиях. Лицо, совершившее полный и безоговорочный акцепт Оферты, именуется «Заказчик», а Исполнитель и Заказчик совместно — «Стороны». Оферта адресуется конкретному Заказчику вместе со счётом или предложением о сопровождении дела и не является публичной офертой для неопределённого круга лиц.</w:t>
      </w:r>
    </w:p>
    <w:tbl>
      <w:tblPr>
        <w:tblW w:type="dxa" w:w="9638"/>
        <w:jc w:val="left"/>
        <w:tblLayout w:type="fixed"/>
        <w:tblLook w:firstColumn="1" w:firstRow="1" w:lastColumn="0" w:lastRow="0" w:noHBand="0" w:noVBand="1" w:val="04A0"/>
        <w:tblInd w:w="120" w:type="dxa"/>
      </w:tblPr>
      <w:tblGrid>
        <w:gridCol w:w="9638"/>
      </w:tblGrid>
      <w:tr>
        <w:tc>
          <w:tcPr>
            <w:tcW w:type="dxa" w:w="9638"/>
            <w:tcMar>
              <w:top w:w="80" w:type="dxa"/>
              <w:left w:w="120" w:type="dxa"/>
              <w:bottom w:w="80" w:type="dxa"/>
              <w:right w:w="120" w:type="dxa"/>
            </w:tcMar>
            <w:vAlign w:val="center"/>
            <w:shd w:fill="EEF4D1"/>
          </w:tcPr>
          <w:p>
            <w:pPr>
              <w:spacing w:after="60"/>
            </w:pPr>
            <w:r>
              <w:rPr>
                <w:rFonts w:ascii="Calibri" w:hAnsi="Calibri"/>
                <w:b/>
                <w:i w:val="0"/>
                <w:color w:val="101C34"/>
                <w:sz w:val="20"/>
              </w:rPr>
              <w:t>Как заключается договор</w:t>
            </w:r>
          </w:p>
          <w:p>
            <w:pPr>
              <w:spacing w:after="0"/>
            </w:pPr>
            <w:r>
              <w:rPr>
                <w:rFonts w:ascii="Calibri" w:hAnsi="Calibri"/>
                <w:b w:val="0"/>
                <w:i w:val="0"/>
                <w:color w:val="101C34"/>
                <w:sz w:val="18"/>
              </w:rPr>
              <w:t>Заказчик выбирает один из двух способов: подписывает Оферту усиленной квалифицированной электронной подписью через согласованный сервис ЭДО либо обменивается с Исполнителем подписанными PDF-копиями по согласованным адресам электронной почты.</w:t>
            </w:r>
          </w:p>
        </w:tc>
      </w:tr>
    </w:tbl>
    <w:p>
      <w:pPr>
        <w:spacing w:after="0"/>
      </w:pPr>
    </w:p>
    <w:p>
      <w:pPr>
        <w:pStyle w:val="Heading1"/>
      </w:pPr>
      <w:r>
        <w:t>1. Предмет договора</w:t>
      </w:r>
    </w:p>
    <w:p>
      <w:pPr>
        <w:keepLines/>
      </w:pPr>
      <w:r>
        <w:rPr>
          <w:rFonts w:ascii="Calibri" w:hAnsi="Calibri"/>
          <w:b/>
          <w:i w:val="0"/>
          <w:color w:val="101C34"/>
          <w:sz w:val="22"/>
        </w:rPr>
        <w:t xml:space="preserve">1.1. </w:t>
      </w:r>
      <w:r>
        <w:rPr>
          <w:rFonts w:ascii="Calibri" w:hAnsi="Calibri"/>
          <w:b w:val="0"/>
          <w:i w:val="0"/>
          <w:color w:val="101C34"/>
          <w:sz w:val="22"/>
        </w:rPr>
        <w:t>После акцепта Оферты Исполнитель обязуется оказать Заказчику юридические услуги по взысканию задолженности с [НАИМЕНОВАНИЕ И ИНН ДОЛЖНИКА] по обязательству [ДОГОВОР / УПД / ИНОЕ ОСНОВАНИЕ], а Заказчик обязуется принять и оплатить услуги.</w:t>
      </w:r>
    </w:p>
    <w:p>
      <w:pPr>
        <w:keepLines/>
      </w:pPr>
      <w:r>
        <w:rPr>
          <w:rFonts w:ascii="Calibri" w:hAnsi="Calibri"/>
          <w:b/>
          <w:i w:val="0"/>
          <w:color w:val="101C34"/>
          <w:sz w:val="22"/>
        </w:rPr>
        <w:t xml:space="preserve">1.2. </w:t>
      </w:r>
      <w:r>
        <w:rPr>
          <w:rFonts w:ascii="Calibri" w:hAnsi="Calibri"/>
          <w:b w:val="0"/>
          <w:i w:val="0"/>
          <w:color w:val="101C34"/>
          <w:sz w:val="22"/>
        </w:rPr>
        <w:t>В состав услуг входят: анализ документов; проверка применимости упрощённого производства; формирование перечня недостающих материалов; расчёт основного долга, процентов, неустойки, госпошлины и судебных расходов; автоматическая подготовка проекта искового заявления и приложений; юридическая проверка проекта; согласование позиции с Заказчиком; подача документов через систему «Мой арбитр» при наличии надлежащих полномочий; мониторинг хода дела; подготовка ходатайства о выдаче исполнительного листа и организация его получения.</w:t>
      </w:r>
    </w:p>
    <w:p>
      <w:pPr>
        <w:keepLines/>
      </w:pPr>
      <w:r>
        <w:rPr>
          <w:rFonts w:ascii="Calibri" w:hAnsi="Calibri"/>
          <w:b/>
          <w:i w:val="0"/>
          <w:color w:val="101C34"/>
          <w:sz w:val="22"/>
        </w:rPr>
        <w:t xml:space="preserve">1.3. </w:t>
      </w:r>
      <w:r>
        <w:rPr>
          <w:rFonts w:ascii="Calibri" w:hAnsi="Calibri"/>
          <w:b w:val="0"/>
          <w:i w:val="0"/>
          <w:color w:val="101C34"/>
          <w:sz w:val="22"/>
        </w:rPr>
        <w:t>При необходимости Исполнитель отдельно готовит и направляет досудебную претензию. Такая услуга оплачивается дополнительно согласно разделу 4 Договора.</w:t>
      </w:r>
    </w:p>
    <w:p>
      <w:pPr>
        <w:keepLines/>
      </w:pPr>
      <w:r>
        <w:rPr>
          <w:rFonts w:ascii="Calibri" w:hAnsi="Calibri"/>
          <w:b/>
          <w:i w:val="0"/>
          <w:color w:val="101C34"/>
          <w:sz w:val="22"/>
        </w:rPr>
        <w:t xml:space="preserve">1.4. </w:t>
      </w:r>
      <w:r>
        <w:rPr>
          <w:rFonts w:ascii="Calibri" w:hAnsi="Calibri"/>
          <w:b w:val="0"/>
          <w:i w:val="0"/>
          <w:color w:val="101C34"/>
          <w:sz w:val="22"/>
        </w:rPr>
        <w:t>Услуги не включают участие в судебных заседаниях, подготовку апелляционной или кассационной жалобы, представительство в исполнительном производстве, розыск активов и банкротство должника, если иное прямо не согласовано Сторонами.</w:t>
      </w:r>
    </w:p>
    <w:p>
      <w:pPr>
        <w:keepLines/>
      </w:pPr>
      <w:r>
        <w:rPr>
          <w:rFonts w:ascii="Calibri" w:hAnsi="Calibri"/>
          <w:b/>
          <w:i w:val="0"/>
          <w:color w:val="101C34"/>
          <w:sz w:val="22"/>
        </w:rPr>
        <w:t xml:space="preserve">1.5. </w:t>
      </w:r>
      <w:r>
        <w:rPr>
          <w:rFonts w:ascii="Calibri" w:hAnsi="Calibri"/>
          <w:b w:val="0"/>
          <w:i w:val="0"/>
          <w:color w:val="101C34"/>
          <w:sz w:val="22"/>
        </w:rPr>
        <w:t>Исполнитель не гарантирует принятие судом конкретного судебного акта, фактическое взыскание денежных средств и срок совершения действий судом, банком или судебным приставом.</w:t>
      </w:r>
    </w:p>
    <w:p>
      <w:pPr>
        <w:pStyle w:val="Heading1"/>
      </w:pPr>
      <w:r>
        <w:t>2. Порядок и сроки оказания услуг</w:t>
      </w:r>
    </w:p>
    <w:p>
      <w:pPr>
        <w:keepLines/>
      </w:pPr>
      <w:r>
        <w:rPr>
          <w:rFonts w:ascii="Calibri" w:hAnsi="Calibri"/>
          <w:b/>
          <w:i w:val="0"/>
          <w:color w:val="101C34"/>
          <w:sz w:val="22"/>
        </w:rPr>
        <w:t xml:space="preserve">2.1. </w:t>
      </w:r>
      <w:r>
        <w:rPr>
          <w:rFonts w:ascii="Calibri" w:hAnsi="Calibri"/>
          <w:b w:val="0"/>
          <w:i w:val="0"/>
          <w:color w:val="101C34"/>
          <w:sz w:val="22"/>
        </w:rPr>
        <w:t>Заказчик заполняет анкету в личном кабинете, предоставляет документы и достоверные сведения, необходимые для ведения дела, а также сообщает обо всех оплатах, возражениях должника, встречных требованиях и иных существенных обстоятельствах.</w:t>
      </w:r>
    </w:p>
    <w:p>
      <w:pPr>
        <w:keepLines/>
      </w:pPr>
      <w:r>
        <w:rPr>
          <w:rFonts w:ascii="Calibri" w:hAnsi="Calibri"/>
          <w:b/>
          <w:i w:val="0"/>
          <w:color w:val="101C34"/>
          <w:sz w:val="22"/>
        </w:rPr>
        <w:t xml:space="preserve">2.2. </w:t>
      </w:r>
      <w:r>
        <w:rPr>
          <w:rFonts w:ascii="Calibri" w:hAnsi="Calibri"/>
          <w:b w:val="0"/>
          <w:i w:val="0"/>
          <w:color w:val="101C34"/>
          <w:sz w:val="22"/>
        </w:rPr>
        <w:t>После загрузки документов сервис автоматически проверяет комплект. При недостаточности материалов в личном кабинете отображается перечень конкретных документов и сведений для дозагрузки. Проект иска формируется после получения достаточного комплекта и подлежит обязательной проверке юристом.</w:t>
      </w:r>
    </w:p>
    <w:p>
      <w:pPr>
        <w:keepLines/>
      </w:pPr>
      <w:r>
        <w:rPr>
          <w:rFonts w:ascii="Calibri" w:hAnsi="Calibri"/>
          <w:b/>
          <w:i w:val="0"/>
          <w:color w:val="101C34"/>
          <w:sz w:val="22"/>
        </w:rPr>
        <w:t xml:space="preserve">2.3. </w:t>
      </w:r>
      <w:r>
        <w:rPr>
          <w:rFonts w:ascii="Calibri" w:hAnsi="Calibri"/>
          <w:b w:val="0"/>
          <w:i w:val="0"/>
          <w:color w:val="101C34"/>
          <w:sz w:val="22"/>
        </w:rPr>
        <w:t>Срок подготовки проекта документов — до 10 календарных дней со дня одновременного выполнения следующих условий: получение полного комплекта документов, поступление оплаты и предоставление доверенности, если она необходима для подачи.</w:t>
      </w:r>
    </w:p>
    <w:p>
      <w:pPr>
        <w:keepLines/>
      </w:pPr>
      <w:r>
        <w:rPr>
          <w:rFonts w:ascii="Calibri" w:hAnsi="Calibri"/>
          <w:b/>
          <w:i w:val="0"/>
          <w:color w:val="101C34"/>
          <w:sz w:val="22"/>
        </w:rPr>
        <w:t xml:space="preserve">2.4. </w:t>
      </w:r>
      <w:r>
        <w:rPr>
          <w:rFonts w:ascii="Calibri" w:hAnsi="Calibri"/>
          <w:b w:val="0"/>
          <w:i w:val="0"/>
          <w:color w:val="101C34"/>
          <w:sz w:val="22"/>
        </w:rPr>
        <w:t>Процессуальные сроки рассмотрения дела определяются АПК РФ и судом. Оставление иска без движения, переход к общим правилам, назначение заседания, обжалование или иные обстоятельства могут увеличить срок.</w:t>
      </w:r>
    </w:p>
    <w:p>
      <w:pPr>
        <w:keepLines/>
      </w:pPr>
      <w:r>
        <w:rPr>
          <w:rFonts w:ascii="Calibri" w:hAnsi="Calibri"/>
          <w:b/>
          <w:i w:val="0"/>
          <w:color w:val="101C34"/>
          <w:sz w:val="22"/>
        </w:rPr>
        <w:t xml:space="preserve">2.5. </w:t>
      </w:r>
      <w:r>
        <w:rPr>
          <w:rFonts w:ascii="Calibri" w:hAnsi="Calibri"/>
          <w:b w:val="0"/>
          <w:i w:val="0"/>
          <w:color w:val="101C34"/>
          <w:sz w:val="22"/>
        </w:rPr>
        <w:t>Исполнитель размещает в личном кабинете доступные статусы: документы получены; комплект проверяется; требуется дозагрузка; проект иска сформирован; юридическая проверка; подано в суд; принято судом; рассмотрение; решение; заявление на исполнительный лист; исполнительный лист получен. Уведомление в кабинете носит информационный характер; юридически значимые судебные извещения проверяются также в официальных системах суда.</w:t>
      </w:r>
    </w:p>
    <w:tbl>
      <w:tblPr>
        <w:tblW w:type="dxa" w:w="9638"/>
        <w:jc w:val="left"/>
        <w:tblLayout w:type="fixed"/>
        <w:tblLook w:firstColumn="1" w:firstRow="1" w:lastColumn="0" w:lastRow="0" w:noHBand="0" w:noVBand="1" w:val="04A0"/>
        <w:tblInd w:w="120" w:type="dxa"/>
      </w:tblPr>
      <w:tblGrid>
        <w:gridCol w:w="9638"/>
      </w:tblGrid>
      <w:tr>
        <w:tc>
          <w:tcPr>
            <w:tcW w:type="dxa" w:w="9638"/>
            <w:tcMar>
              <w:top w:w="80" w:type="dxa"/>
              <w:left w:w="120" w:type="dxa"/>
              <w:bottom w:w="80" w:type="dxa"/>
              <w:right w:w="120" w:type="dxa"/>
            </w:tcMar>
            <w:vAlign w:val="center"/>
            <w:shd w:fill="EEF4D1"/>
          </w:tcPr>
          <w:p>
            <w:pPr>
              <w:spacing w:after="60"/>
            </w:pPr>
            <w:r>
              <w:rPr>
                <w:rFonts w:ascii="Calibri" w:hAnsi="Calibri"/>
                <w:b/>
                <w:i w:val="0"/>
                <w:color w:val="101C34"/>
                <w:sz w:val="20"/>
              </w:rPr>
              <w:t>Немедленное исполнение</w:t>
            </w:r>
          </w:p>
          <w:p>
            <w:pPr>
              <w:spacing w:after="0"/>
            </w:pPr>
            <w:r>
              <w:rPr>
                <w:rFonts w:ascii="Calibri" w:hAnsi="Calibri"/>
                <w:b w:val="0"/>
                <w:i w:val="0"/>
                <w:color w:val="101C34"/>
                <w:sz w:val="18"/>
              </w:rPr>
              <w:t>Решение по делу, рассмотренному в порядке упрощённого производства, подлежит немедленному исполнению. После принятия решения Исполнитель готовит ходатайство о выдаче исполнительного листа; фактический срок выдачи зависит от суда.</w:t>
            </w:r>
          </w:p>
        </w:tc>
      </w:tr>
    </w:tbl>
    <w:p>
      <w:pPr>
        <w:spacing w:after="0"/>
      </w:pPr>
    </w:p>
    <w:p>
      <w:pPr>
        <w:pStyle w:val="Heading1"/>
      </w:pPr>
      <w:r>
        <w:t>3. Права и обязанности сторон</w:t>
      </w:r>
    </w:p>
    <w:p>
      <w:pPr>
        <w:keepLines/>
      </w:pPr>
      <w:r>
        <w:rPr>
          <w:rFonts w:ascii="Calibri" w:hAnsi="Calibri"/>
          <w:b/>
          <w:i w:val="0"/>
          <w:color w:val="101C34"/>
          <w:sz w:val="22"/>
        </w:rPr>
        <w:t xml:space="preserve">3.1. </w:t>
      </w:r>
      <w:r>
        <w:rPr>
          <w:rFonts w:ascii="Calibri" w:hAnsi="Calibri"/>
          <w:b w:val="0"/>
          <w:i w:val="0"/>
          <w:color w:val="101C34"/>
          <w:sz w:val="22"/>
        </w:rPr>
        <w:t>Исполнитель обязан действовать добросовестно, разумно и квалифицированно; обеспечивать конфиденциальность; согласовывать существенные изменения правовой позиции; сообщать о выявленных рисках и недостающих документах.</w:t>
      </w:r>
    </w:p>
    <w:p>
      <w:pPr>
        <w:keepLines/>
      </w:pPr>
      <w:r>
        <w:rPr>
          <w:rFonts w:ascii="Calibri" w:hAnsi="Calibri"/>
          <w:b/>
          <w:i w:val="0"/>
          <w:color w:val="101C34"/>
          <w:sz w:val="22"/>
        </w:rPr>
        <w:t xml:space="preserve">3.2. </w:t>
      </w:r>
      <w:r>
        <w:rPr>
          <w:rFonts w:ascii="Calibri" w:hAnsi="Calibri"/>
          <w:b w:val="0"/>
          <w:i w:val="0"/>
          <w:color w:val="101C34"/>
          <w:sz w:val="22"/>
        </w:rPr>
        <w:t>Исполнитель вправе запрашивать документы и пояснения, приостановить подготовку до их получения, привлекать сотрудников и специалистов при сохранении ответственности перед Заказчиком, а также отказаться от совершения действий, противоречащих закону или профессиональным обязанностям.</w:t>
      </w:r>
    </w:p>
    <w:p>
      <w:pPr>
        <w:keepLines/>
      </w:pPr>
      <w:r>
        <w:rPr>
          <w:rFonts w:ascii="Calibri" w:hAnsi="Calibri"/>
          <w:b/>
          <w:i w:val="0"/>
          <w:color w:val="101C34"/>
          <w:sz w:val="22"/>
        </w:rPr>
        <w:t xml:space="preserve">3.3. </w:t>
      </w:r>
      <w:r>
        <w:rPr>
          <w:rFonts w:ascii="Calibri" w:hAnsi="Calibri"/>
          <w:b w:val="0"/>
          <w:i w:val="0"/>
          <w:color w:val="101C34"/>
          <w:sz w:val="22"/>
        </w:rPr>
        <w:t>Заказчик обязан своевременно предоставлять полные и достоверные сведения; не скрывать документы и обстоятельства; выдать надлежащую доверенность; оплатить услуги и обязательные расходы; в течение 2 рабочих дней отвечать на запросы Исполнителя, если иной срок не указан в запросе.</w:t>
      </w:r>
    </w:p>
    <w:p>
      <w:pPr>
        <w:keepLines/>
      </w:pPr>
      <w:r>
        <w:rPr>
          <w:rFonts w:ascii="Calibri" w:hAnsi="Calibri"/>
          <w:b/>
          <w:i w:val="0"/>
          <w:color w:val="101C34"/>
          <w:sz w:val="22"/>
        </w:rPr>
        <w:t xml:space="preserve">3.4. </w:t>
      </w:r>
      <w:r>
        <w:rPr>
          <w:rFonts w:ascii="Calibri" w:hAnsi="Calibri"/>
          <w:b w:val="0"/>
          <w:i w:val="0"/>
          <w:color w:val="101C34"/>
          <w:sz w:val="22"/>
        </w:rPr>
        <w:t>Заказчик вправе получать информацию о ходе работы и копии подготовленных документов, направлять замечания и отозвать поручение с оплатой фактически оказанных услуг и понесённых расходов.</w:t>
      </w:r>
    </w:p>
    <w:p>
      <w:pPr>
        <w:pStyle w:val="Heading1"/>
      </w:pPr>
      <w:r>
        <w:t>4. Стоимость и порядок оплаты</w:t>
      </w:r>
    </w:p>
    <w:p>
      <w:pPr>
        <w:keepLines/>
      </w:pPr>
      <w:r>
        <w:rPr>
          <w:rFonts w:ascii="Calibri" w:hAnsi="Calibri"/>
          <w:b/>
          <w:i w:val="0"/>
          <w:color w:val="101C34"/>
          <w:sz w:val="22"/>
        </w:rPr>
        <w:t xml:space="preserve">4.1. </w:t>
      </w:r>
      <w:r>
        <w:rPr>
          <w:rFonts w:ascii="Calibri" w:hAnsi="Calibri"/>
          <w:b w:val="0"/>
          <w:i w:val="0"/>
          <w:color w:val="101C34"/>
          <w:sz w:val="22"/>
        </w:rPr>
        <w:t>Стоимость услуг по одному делу составляет 20 000 (двадцать тысяч) рублей 00 копеек. Без НДС.</w:t>
      </w:r>
    </w:p>
    <w:p>
      <w:pPr>
        <w:keepLines/>
      </w:pPr>
      <w:r>
        <w:rPr>
          <w:rFonts w:ascii="Calibri" w:hAnsi="Calibri"/>
          <w:b/>
          <w:i w:val="0"/>
          <w:color w:val="101C34"/>
          <w:sz w:val="22"/>
        </w:rPr>
        <w:t xml:space="preserve">4.2. </w:t>
      </w:r>
      <w:r>
        <w:rPr>
          <w:rFonts w:ascii="Calibri" w:hAnsi="Calibri"/>
          <w:b w:val="0"/>
          <w:i w:val="0"/>
          <w:color w:val="101C34"/>
          <w:sz w:val="22"/>
        </w:rPr>
        <w:t>Подготовка и направление досудебной претензии, если она требуется отдельно, составляет 10 000 (десять тысяч) рублей. Без НДС.</w:t>
      </w:r>
    </w:p>
    <w:p>
      <w:pPr>
        <w:keepLines/>
      </w:pPr>
      <w:r>
        <w:rPr>
          <w:rFonts w:ascii="Calibri" w:hAnsi="Calibri"/>
          <w:b/>
          <w:i w:val="0"/>
          <w:color w:val="101C34"/>
          <w:sz w:val="22"/>
        </w:rPr>
        <w:t xml:space="preserve">4.3. </w:t>
      </w:r>
      <w:r>
        <w:rPr>
          <w:rFonts w:ascii="Calibri" w:hAnsi="Calibri"/>
          <w:b w:val="0"/>
          <w:i w:val="0"/>
          <w:color w:val="101C34"/>
          <w:sz w:val="22"/>
        </w:rPr>
        <w:t>Государственная пошлина, почтовые расходы, нотариальные расходы, услуги экспертов, переводчиков, банков и иные обязательные расходы не входят в вознаграждение Исполнителя и оплачиваются Заказчиком дополнительно.</w:t>
      </w:r>
    </w:p>
    <w:p>
      <w:pPr>
        <w:keepLines/>
      </w:pPr>
      <w:r>
        <w:rPr>
          <w:rFonts w:ascii="Calibri" w:hAnsi="Calibri"/>
          <w:b/>
          <w:i w:val="0"/>
          <w:color w:val="101C34"/>
          <w:sz w:val="22"/>
        </w:rPr>
        <w:t xml:space="preserve">4.4. </w:t>
      </w:r>
      <w:r>
        <w:rPr>
          <w:rFonts w:ascii="Calibri" w:hAnsi="Calibri"/>
          <w:b w:val="0"/>
          <w:i w:val="0"/>
          <w:color w:val="101C34"/>
          <w:sz w:val="22"/>
        </w:rPr>
        <w:t>После заполнения Заказчиком необходимых данных и выбора услуги сервис автоматически формирует счёт на оплату, сохраняет его в личном кабинете и направляет вместе с неподписанной рабочей копией Оферты на подтверждённый адрес электронной почты Заказчика. Такая отправка носит информационный характер и не заключает Договор.</w:t>
      </w:r>
    </w:p>
    <w:p>
      <w:pPr>
        <w:keepLines/>
      </w:pPr>
      <w:r>
        <w:rPr>
          <w:rFonts w:ascii="Calibri" w:hAnsi="Calibri"/>
          <w:b/>
          <w:i w:val="0"/>
          <w:color w:val="101C34"/>
          <w:sz w:val="22"/>
        </w:rPr>
        <w:t xml:space="preserve">4.5. </w:t>
      </w:r>
      <w:r>
        <w:rPr>
          <w:rFonts w:ascii="Calibri" w:hAnsi="Calibri"/>
          <w:b w:val="0"/>
          <w:i w:val="0"/>
          <w:color w:val="101C34"/>
          <w:sz w:val="22"/>
        </w:rPr>
        <w:t>Оплата производится в течение 5 календарных дней со дня выставления счёта.</w:t>
      </w:r>
    </w:p>
    <w:p>
      <w:pPr>
        <w:pStyle w:val="Heading1"/>
      </w:pPr>
      <w:r>
        <w:t>5. Акцепт Оферты и электронный документооборот</w:t>
      </w:r>
    </w:p>
    <w:p>
      <w:pPr>
        <w:keepLines/>
      </w:pPr>
      <w:r>
        <w:rPr>
          <w:rFonts w:ascii="Calibri" w:hAnsi="Calibri"/>
          <w:b/>
          <w:i w:val="0"/>
          <w:color w:val="101C34"/>
          <w:sz w:val="22"/>
        </w:rPr>
        <w:t xml:space="preserve">5.1. </w:t>
      </w:r>
      <w:r>
        <w:rPr>
          <w:rFonts w:ascii="Calibri" w:hAnsi="Calibri"/>
          <w:b w:val="0"/>
          <w:i w:val="0"/>
          <w:color w:val="101C34"/>
          <w:sz w:val="22"/>
        </w:rPr>
        <w:t>Акцепт должен быть полным и безоговорочным. Молчание, устное согласие или отметка в личном кабинете без подписанного документа акцептом не признаются.</w:t>
      </w:r>
    </w:p>
    <w:p>
      <w:pPr>
        <w:keepLines/>
      </w:pPr>
      <w:r>
        <w:rPr>
          <w:rFonts w:ascii="Calibri" w:hAnsi="Calibri"/>
          <w:b/>
          <w:i w:val="0"/>
          <w:color w:val="101C34"/>
          <w:sz w:val="22"/>
        </w:rPr>
        <w:t xml:space="preserve">5.2. </w:t>
      </w:r>
      <w:r>
        <w:rPr>
          <w:rFonts w:ascii="Calibri" w:hAnsi="Calibri"/>
          <w:b w:val="0"/>
          <w:i w:val="0"/>
          <w:color w:val="101C34"/>
          <w:sz w:val="22"/>
        </w:rPr>
        <w:t>Способ 1 — электронный документооборот. Заказчик подписывает Оферту или сформированный на её основании договор усиленной квалифицированной электронной подписью уполномоченного лица в согласованной Сторонами системе ЭДО и направляет документ Исполнителю. Исполнитель подписывает документ своей усиленной квалифицированной электронной подписью. Договор считается заключённым в момент, когда обе подписи проставлены и подписанный обеими Сторонами документ доступен им в системе ЭДО.</w:t>
      </w:r>
    </w:p>
    <w:p>
      <w:pPr>
        <w:keepLines/>
      </w:pPr>
      <w:r>
        <w:rPr>
          <w:rFonts w:ascii="Calibri" w:hAnsi="Calibri"/>
          <w:b/>
          <w:i w:val="0"/>
          <w:color w:val="101C34"/>
          <w:sz w:val="22"/>
        </w:rPr>
        <w:t xml:space="preserve">5.3. </w:t>
      </w:r>
      <w:r>
        <w:rPr>
          <w:rFonts w:ascii="Calibri" w:hAnsi="Calibri"/>
          <w:b w:val="0"/>
          <w:i w:val="0"/>
          <w:color w:val="101C34"/>
          <w:sz w:val="22"/>
        </w:rPr>
        <w:t>При использовании ЭДО Стороны признают электронный документ с действительными усиленными квалифицированными электронными подписями равнозначным бумажному документу с собственноручными подписями. Каждая Сторона самостоятельно проверяет полномочия подписанта, действительность сертификата и целостность подписанного файла и хранит электронный документ и подтверждения оператора ЭДО.</w:t>
      </w:r>
    </w:p>
    <w:p>
      <w:pPr>
        <w:keepLines/>
      </w:pPr>
      <w:r>
        <w:rPr>
          <w:rFonts w:ascii="Calibri" w:hAnsi="Calibri"/>
          <w:b/>
          <w:i w:val="0"/>
          <w:color w:val="101C34"/>
          <w:sz w:val="22"/>
        </w:rPr>
        <w:t xml:space="preserve">5.4. </w:t>
      </w:r>
      <w:r>
        <w:rPr>
          <w:rFonts w:ascii="Calibri" w:hAnsi="Calibri"/>
          <w:b w:val="0"/>
          <w:i w:val="0"/>
          <w:color w:val="101C34"/>
          <w:sz w:val="22"/>
        </w:rPr>
        <w:t>Способ 2 — обмен по электронной почте. Исполнитель направляет Заказчику с адреса artemargum@gmail.com подписанный Исполнителем экземпляр Оферты в формате PDF. Заказчик распечатывает и подписывает документ либо подписывает PDF допустимой электронной подписью и направляет подписанный экземпляр ответным письмом со своего согласованного адреса, указанного в реквизитах или заявке.</w:t>
      </w:r>
    </w:p>
    <w:p>
      <w:pPr>
        <w:keepLines/>
      </w:pPr>
      <w:r>
        <w:rPr>
          <w:rFonts w:ascii="Calibri" w:hAnsi="Calibri"/>
          <w:b/>
          <w:i w:val="0"/>
          <w:color w:val="101C34"/>
          <w:sz w:val="22"/>
        </w:rPr>
        <w:t xml:space="preserve">5.5. </w:t>
      </w:r>
      <w:r>
        <w:rPr>
          <w:rFonts w:ascii="Calibri" w:hAnsi="Calibri"/>
          <w:b w:val="0"/>
          <w:i w:val="0"/>
          <w:color w:val="101C34"/>
          <w:sz w:val="22"/>
        </w:rPr>
        <w:t>Вместо подписания всего текста Заказчик вправе направить с согласованного адреса отдельный подписанный акцепт, в котором указаны: наименование и реквизиты Заказчика; номер и дата редакции Оферты; дело или должник; подтверждение полного и безоговорочного принятия условий; ФИО, должность и основание полномочий подписанта. К письму прикладывается подписанный PDF акцепта.</w:t>
      </w:r>
    </w:p>
    <w:p>
      <w:pPr>
        <w:keepLines/>
      </w:pPr>
      <w:r>
        <w:rPr>
          <w:rFonts w:ascii="Calibri" w:hAnsi="Calibri"/>
          <w:b/>
          <w:i w:val="0"/>
          <w:color w:val="101C34"/>
          <w:sz w:val="22"/>
        </w:rPr>
        <w:t xml:space="preserve">5.6. </w:t>
      </w:r>
      <w:r>
        <w:rPr>
          <w:rFonts w:ascii="Calibri" w:hAnsi="Calibri"/>
          <w:b w:val="0"/>
          <w:i w:val="0"/>
          <w:color w:val="101C34"/>
          <w:sz w:val="22"/>
        </w:rPr>
        <w:t>При обмене по email договор считается заключённым в дату получения Исполнителем подписанного Заказчиком экземпляра Оферты или отдельного подписанного акцепта, если документ позволяет достоверно определить Заказчика и его волеизъявление. Исполнитель подтверждает получение ответным письмом. Если в акцепте содержатся изменения или оговорки, такой ответ считается новой офертой и не заключает договор до её письменного принятия Исполнителем.</w:t>
      </w:r>
    </w:p>
    <w:p>
      <w:pPr>
        <w:keepLines/>
      </w:pPr>
      <w:r>
        <w:rPr>
          <w:rFonts w:ascii="Calibri" w:hAnsi="Calibri"/>
          <w:b/>
          <w:i w:val="0"/>
          <w:color w:val="101C34"/>
          <w:sz w:val="22"/>
        </w:rPr>
        <w:t xml:space="preserve">5.7. </w:t>
      </w:r>
      <w:r>
        <w:rPr>
          <w:rFonts w:ascii="Calibri" w:hAnsi="Calibri"/>
          <w:b w:val="0"/>
          <w:i w:val="0"/>
          <w:color w:val="101C34"/>
          <w:sz w:val="22"/>
        </w:rPr>
        <w:t>Согласованные адреса: Исполнитель — artemargum@gmail.com; Заказчик — адрес, указанный в разделе 10, заявке или счёте. Стороны обязуются обеспечивать доступ к своим почтовым ящикам только уполномоченным лицам. Изменение адреса действует после письменного уведомления другой Стороны с прежнего согласованного адреса, через ЭДО или на бумаге.</w:t>
      </w:r>
    </w:p>
    <w:p>
      <w:pPr>
        <w:keepLines/>
      </w:pPr>
      <w:r>
        <w:rPr>
          <w:rFonts w:ascii="Calibri" w:hAnsi="Calibri"/>
          <w:b/>
          <w:i w:val="0"/>
          <w:color w:val="101C34"/>
          <w:sz w:val="22"/>
        </w:rPr>
        <w:t xml:space="preserve">5.8. </w:t>
      </w:r>
      <w:r>
        <w:rPr>
          <w:rFonts w:ascii="Calibri" w:hAnsi="Calibri"/>
          <w:b w:val="0"/>
          <w:i w:val="0"/>
          <w:color w:val="101C34"/>
          <w:sz w:val="22"/>
        </w:rPr>
        <w:t>Стороны сохраняют исходные письма и вложения с техническими сведениями об отправителе, получателе, дате и времени, теме письма и версии документа. По требованию другой Стороны предоставляются подтверждения отправки и получения. Электронная переписка и подписанные вложения могут использоваться для подтверждения заключения и исполнения договора.</w:t>
      </w:r>
    </w:p>
    <w:p>
      <w:pPr>
        <w:keepLines/>
      </w:pPr>
      <w:r>
        <w:rPr>
          <w:rFonts w:ascii="Calibri" w:hAnsi="Calibri"/>
          <w:b/>
          <w:i w:val="0"/>
          <w:color w:val="101C34"/>
          <w:sz w:val="22"/>
        </w:rPr>
        <w:t xml:space="preserve">5.9. </w:t>
      </w:r>
      <w:r>
        <w:rPr>
          <w:rFonts w:ascii="Calibri" w:hAnsi="Calibri"/>
          <w:b w:val="0"/>
          <w:i w:val="0"/>
          <w:color w:val="101C34"/>
          <w:sz w:val="22"/>
        </w:rPr>
        <w:t>Документы по исполнению договора — запросы, проекты, замечания, акты и уведомления — могут направляться через ЭДО, согласованные адреса электронной почты или личный кабинет. Если закон или суд требует оригинал, Стороны предоставляют его дополнительно.</w:t>
      </w:r>
    </w:p>
    <w:p>
      <w:pPr>
        <w:keepLines/>
      </w:pPr>
      <w:r>
        <w:rPr>
          <w:rFonts w:ascii="Calibri" w:hAnsi="Calibri"/>
          <w:b/>
          <w:i w:val="0"/>
          <w:color w:val="101C34"/>
          <w:sz w:val="22"/>
        </w:rPr>
        <w:t xml:space="preserve">5.10. </w:t>
      </w:r>
      <w:r>
        <w:rPr>
          <w:rFonts w:ascii="Calibri" w:hAnsi="Calibri"/>
          <w:b w:val="0"/>
          <w:i w:val="0"/>
          <w:color w:val="101C34"/>
          <w:sz w:val="22"/>
        </w:rPr>
        <w:t>Автоматически сформированный сервисом файл Оферты в формате DOC является неподписанной рабочей копией для проверки. Его формирование, сохранение в личном кабинете или направление вместе со счётом по электронной почте само по себе не является подписанием документов, акцептом Оферты или заключением Договора. Договор заключается только одним из способов, прямо предусмотренных пунктами 5.2–5.6.</w:t>
      </w:r>
    </w:p>
    <w:tbl>
      <w:tblPr>
        <w:tblW w:type="dxa" w:w="9638"/>
        <w:jc w:val="left"/>
        <w:tblLayout w:type="fixed"/>
        <w:tblLook w:firstColumn="1" w:firstRow="1" w:lastColumn="0" w:lastRow="0" w:noHBand="0" w:noVBand="1" w:val="04A0"/>
        <w:tblInd w:w="120" w:type="dxa"/>
      </w:tblPr>
      <w:tblGrid>
        <w:gridCol w:w="9638"/>
      </w:tblGrid>
      <w:tr>
        <w:tc>
          <w:tcPr>
            <w:tcW w:type="dxa" w:w="9638"/>
            <w:tcMar>
              <w:top w:w="80" w:type="dxa"/>
              <w:left w:w="120" w:type="dxa"/>
              <w:bottom w:w="80" w:type="dxa"/>
              <w:right w:w="120" w:type="dxa"/>
            </w:tcMar>
            <w:vAlign w:val="center"/>
            <w:shd w:fill="F2E5DF"/>
          </w:tcPr>
          <w:p>
            <w:pPr>
              <w:spacing w:after="60"/>
            </w:pPr>
            <w:r>
              <w:rPr>
                <w:rFonts w:ascii="Calibri" w:hAnsi="Calibri"/>
                <w:b/>
                <w:i w:val="0"/>
                <w:color w:val="101C34"/>
                <w:sz w:val="20"/>
              </w:rPr>
              <w:t>Важно для обмена по email</w:t>
            </w:r>
          </w:p>
          <w:p>
            <w:pPr>
              <w:spacing w:after="0"/>
            </w:pPr>
            <w:r>
              <w:rPr>
                <w:rFonts w:ascii="Calibri" w:hAnsi="Calibri"/>
                <w:b w:val="0"/>
                <w:i w:val="0"/>
                <w:color w:val="101C34"/>
                <w:sz w:val="18"/>
              </w:rPr>
              <w:t>Необходимо направлять именно подписанный PDF-экземпляр Оферты или отдельный подписанный акцепт. Простое сообщение «согласен», отметка в интерфейсе или оплата без подписанного документа не используются как предусмотренный настоящей Офертой способ акцепта.</w:t>
            </w:r>
          </w:p>
        </w:tc>
      </w:tr>
    </w:tbl>
    <w:p>
      <w:pPr>
        <w:spacing w:after="0"/>
      </w:pPr>
    </w:p>
    <w:p>
      <w:pPr>
        <w:pStyle w:val="Heading1"/>
      </w:pPr>
      <w:r>
        <w:t>6. Конфиденциальность и персональные данные</w:t>
      </w:r>
    </w:p>
    <w:p>
      <w:pPr>
        <w:keepLines/>
      </w:pPr>
      <w:r>
        <w:rPr>
          <w:rFonts w:ascii="Calibri" w:hAnsi="Calibri"/>
          <w:b/>
          <w:i w:val="0"/>
          <w:color w:val="101C34"/>
          <w:sz w:val="22"/>
        </w:rPr>
        <w:t xml:space="preserve">6.1. </w:t>
      </w:r>
      <w:r>
        <w:rPr>
          <w:rFonts w:ascii="Calibri" w:hAnsi="Calibri"/>
          <w:b w:val="0"/>
          <w:i w:val="0"/>
          <w:color w:val="101C34"/>
          <w:sz w:val="22"/>
        </w:rPr>
        <w:t>Исполнитель использует полученные документы и сведения исключительно для исполнения Договора, соблюдает конфиденциальность и принимает необходимые организационные и технические меры защиты.</w:t>
      </w:r>
    </w:p>
    <w:p>
      <w:pPr>
        <w:keepLines/>
      </w:pPr>
      <w:r>
        <w:rPr>
          <w:rFonts w:ascii="Calibri" w:hAnsi="Calibri"/>
          <w:b/>
          <w:i w:val="0"/>
          <w:color w:val="101C34"/>
          <w:sz w:val="22"/>
        </w:rPr>
        <w:t xml:space="preserve">6.2. </w:t>
      </w:r>
      <w:r>
        <w:rPr>
          <w:rFonts w:ascii="Calibri" w:hAnsi="Calibri"/>
          <w:b w:val="0"/>
          <w:i w:val="0"/>
          <w:color w:val="101C34"/>
          <w:sz w:val="22"/>
        </w:rPr>
        <w:t>Персональные данные обрабатываются на основании закона и согласия субъекта в объёме, необходимом для исполнения Договора и судебного представительства. Условия обработки, сроки хранения, сведения об операторе и правах субъектов указываются в политике обработки персональных данных.</w:t>
      </w:r>
    </w:p>
    <w:p>
      <w:pPr>
        <w:keepLines/>
      </w:pPr>
      <w:r>
        <w:rPr>
          <w:rFonts w:ascii="Calibri" w:hAnsi="Calibri"/>
          <w:b/>
          <w:i w:val="0"/>
          <w:color w:val="101C34"/>
          <w:sz w:val="22"/>
        </w:rPr>
        <w:t xml:space="preserve">6.3. </w:t>
      </w:r>
      <w:r>
        <w:rPr>
          <w:rFonts w:ascii="Calibri" w:hAnsi="Calibri"/>
          <w:b w:val="0"/>
          <w:i w:val="0"/>
          <w:color w:val="101C34"/>
          <w:sz w:val="22"/>
        </w:rPr>
        <w:t>Обработка и хранение персональных данных и загруженных документов осуществляются в соответствии с опубликованной политикой обработки персональных данных и применимым законодательством. До размещения в интерфейсе подтверждённой информации об используемой инфраструктуре и мерах защиты Заказчику не следует передавать через сервис реальные документы, содержащие чувствительные персональные данные, банковскую тайну, коммерческую тайну или иные сведения ограниченного доступа.</w:t>
      </w:r>
    </w:p>
    <w:p>
      <w:pPr>
        <w:keepLines/>
      </w:pPr>
      <w:r>
        <w:rPr>
          <w:rFonts w:ascii="Calibri" w:hAnsi="Calibri"/>
          <w:b/>
          <w:i w:val="0"/>
          <w:color w:val="101C34"/>
          <w:sz w:val="22"/>
        </w:rPr>
        <w:t xml:space="preserve">6.4. </w:t>
      </w:r>
      <w:r>
        <w:rPr>
          <w:rFonts w:ascii="Calibri" w:hAnsi="Calibri"/>
          <w:b w:val="0"/>
          <w:i w:val="0"/>
          <w:color w:val="101C34"/>
          <w:sz w:val="22"/>
        </w:rPr>
        <w:t>Акцептуя Оферту, Заказчик предоставляет ИП Зубченкову Артему Владимировичу безвозмездное право размещать на сайте проекта «Взыскано» ссылку на общедоступную карточку сопровождаемого дела в Картотеке арбитражных дел, номер дела, наименование суда, категорию спора, размер заявленных или удовлетворённых требований, даты и результат рассмотрения, если эти сведения опубликованы судом в открытом доступе.</w:t>
      </w:r>
    </w:p>
    <w:p>
      <w:pPr>
        <w:keepLines/>
      </w:pPr>
      <w:r>
        <w:rPr>
          <w:rFonts w:ascii="Calibri" w:hAnsi="Calibri"/>
          <w:b/>
          <w:i w:val="0"/>
          <w:color w:val="101C34"/>
          <w:sz w:val="22"/>
        </w:rPr>
        <w:t xml:space="preserve">6.5. </w:t>
      </w:r>
      <w:r>
        <w:rPr>
          <w:rFonts w:ascii="Calibri" w:hAnsi="Calibri"/>
          <w:b w:val="0"/>
          <w:i w:val="0"/>
          <w:color w:val="101C34"/>
          <w:sz w:val="22"/>
        </w:rPr>
        <w:t>Право по пункту 6.4 не распространяется на публикацию переданных Заказчиком документов, закрытых материалов дела, банковских реквизитов, контактных данных, паспортных данных, коммерческой тайны и иной информации ограниченного доступа. Исполнитель не вправе изменять смысл судебных актов или создавать впечатление о гарантированном результате другого дела.</w:t>
      </w:r>
    </w:p>
    <w:p>
      <w:pPr>
        <w:keepLines/>
      </w:pPr>
      <w:r>
        <w:rPr>
          <w:rFonts w:ascii="Calibri" w:hAnsi="Calibri"/>
          <w:b/>
          <w:i w:val="0"/>
          <w:color w:val="101C34"/>
          <w:sz w:val="22"/>
        </w:rPr>
        <w:t xml:space="preserve">6.6. </w:t>
      </w:r>
      <w:r>
        <w:rPr>
          <w:rFonts w:ascii="Calibri" w:hAnsi="Calibri"/>
          <w:b w:val="0"/>
          <w:i w:val="0"/>
          <w:color w:val="101C34"/>
          <w:sz w:val="22"/>
        </w:rPr>
        <w:t>Заказчик подтверждает, что вправе разрешить такое использование сведений о деле. Заказчик может отозвать разрешение письменным уведомлением по согласованному адресу электронной почты или через ЭДО. Исполнитель удаляет соответствующую публикацию и ссылку в течение десяти рабочих дней после получения уведомления; отзыв не прекращает Договор и не влияет на ранее оказанные услуги.</w:t>
      </w:r>
    </w:p>
    <w:p>
      <w:pPr>
        <w:pStyle w:val="Heading1"/>
      </w:pPr>
      <w:r>
        <w:t>7. Приёмка услуг</w:t>
      </w:r>
    </w:p>
    <w:p>
      <w:pPr>
        <w:keepLines/>
      </w:pPr>
      <w:r>
        <w:rPr>
          <w:rFonts w:ascii="Calibri" w:hAnsi="Calibri"/>
          <w:b/>
          <w:i w:val="0"/>
          <w:color w:val="101C34"/>
          <w:sz w:val="22"/>
        </w:rPr>
        <w:t xml:space="preserve">7.1. </w:t>
      </w:r>
      <w:r>
        <w:rPr>
          <w:rFonts w:ascii="Calibri" w:hAnsi="Calibri"/>
          <w:b w:val="0"/>
          <w:i w:val="0"/>
          <w:color w:val="101C34"/>
          <w:sz w:val="22"/>
        </w:rPr>
        <w:t>По завершении услуг сервис автоматически формирует акт оказанных услуг на основании данных заказа, сохраняет его в личном кабинете и направляет на согласованный адрес электронной почты Заказчика.</w:t>
      </w:r>
    </w:p>
    <w:p>
      <w:pPr>
        <w:keepLines/>
      </w:pPr>
      <w:r>
        <w:rPr>
          <w:rFonts w:ascii="Calibri" w:hAnsi="Calibri"/>
          <w:b/>
          <w:i w:val="0"/>
          <w:color w:val="101C34"/>
          <w:sz w:val="22"/>
        </w:rPr>
        <w:t xml:space="preserve">7.2. </w:t>
      </w:r>
      <w:r>
        <w:rPr>
          <w:rFonts w:ascii="Calibri" w:hAnsi="Calibri"/>
          <w:b w:val="0"/>
          <w:i w:val="0"/>
          <w:color w:val="101C34"/>
          <w:sz w:val="22"/>
        </w:rPr>
        <w:t>Заказчик в течение 5 рабочих дней со дня получения акта подписывает его и возвращает Исполнителю через ЭДО, согласованную электронную почту или личный кабинет либо направляет тем же способом мотивированные письменные возражения с указанием конкретных недостатков.</w:t>
      </w:r>
    </w:p>
    <w:p>
      <w:pPr>
        <w:keepLines/>
      </w:pPr>
      <w:r>
        <w:rPr>
          <w:rFonts w:ascii="Calibri" w:hAnsi="Calibri"/>
          <w:b/>
          <w:i w:val="0"/>
          <w:color w:val="101C34"/>
          <w:sz w:val="22"/>
        </w:rPr>
        <w:t xml:space="preserve">7.3. </w:t>
      </w:r>
      <w:r>
        <w:rPr>
          <w:rFonts w:ascii="Calibri" w:hAnsi="Calibri"/>
          <w:b w:val="0"/>
          <w:i w:val="0"/>
          <w:color w:val="101C34"/>
          <w:sz w:val="22"/>
        </w:rPr>
        <w:t>Факт формирования, сохранения в личном кабинете, отправки или доставки акта по электронной почте сам по себе не является подписанием акта или акцептом Оферты. Услуги считаются принятыми при получении Исполнителем подписанного Заказчиком акта либо по истечении срока, установленного пунктом 7.2, если мотивированные письменные возражения в этот срок не поступили.</w:t>
      </w:r>
    </w:p>
    <w:p>
      <w:pPr>
        <w:pStyle w:val="Heading1"/>
      </w:pPr>
      <w:r>
        <w:t>8. Ответственность и разрешение споров</w:t>
      </w:r>
    </w:p>
    <w:p>
      <w:pPr>
        <w:keepLines/>
      </w:pPr>
      <w:r>
        <w:rPr>
          <w:rFonts w:ascii="Calibri" w:hAnsi="Calibri"/>
          <w:b/>
          <w:i w:val="0"/>
          <w:color w:val="101C34"/>
          <w:sz w:val="22"/>
        </w:rPr>
        <w:t xml:space="preserve">8.1. </w:t>
      </w:r>
      <w:r>
        <w:rPr>
          <w:rFonts w:ascii="Calibri" w:hAnsi="Calibri"/>
          <w:b w:val="0"/>
          <w:i w:val="0"/>
          <w:color w:val="101C34"/>
          <w:sz w:val="22"/>
        </w:rPr>
        <w:t>Стороны несут ответственность в соответствии с законодательством Российской Федерации. Исполнитель не отвечает за последствия неполных, недостоверных или несвоевременно предоставленных Заказчиком сведений.</w:t>
      </w:r>
    </w:p>
    <w:p>
      <w:pPr>
        <w:keepLines/>
      </w:pPr>
      <w:r>
        <w:rPr>
          <w:rFonts w:ascii="Calibri" w:hAnsi="Calibri"/>
          <w:b/>
          <w:i w:val="0"/>
          <w:color w:val="101C34"/>
          <w:sz w:val="22"/>
        </w:rPr>
        <w:t xml:space="preserve">8.2. </w:t>
      </w:r>
      <w:r>
        <w:rPr>
          <w:rFonts w:ascii="Calibri" w:hAnsi="Calibri"/>
          <w:b w:val="0"/>
          <w:i w:val="0"/>
          <w:color w:val="101C34"/>
          <w:sz w:val="22"/>
        </w:rPr>
        <w:t>До обращения в суд Сторона направляет письменную претензию. Срок ответа — 30 календарных дней со дня получения.</w:t>
      </w:r>
    </w:p>
    <w:p>
      <w:pPr>
        <w:keepLines/>
      </w:pPr>
      <w:r>
        <w:rPr>
          <w:rFonts w:ascii="Calibri" w:hAnsi="Calibri"/>
          <w:b/>
          <w:i w:val="0"/>
          <w:color w:val="101C34"/>
          <w:sz w:val="22"/>
        </w:rPr>
        <w:t xml:space="preserve">8.3. </w:t>
      </w:r>
      <w:r>
        <w:rPr>
          <w:rFonts w:ascii="Calibri" w:hAnsi="Calibri"/>
          <w:b w:val="0"/>
          <w:i w:val="0"/>
          <w:color w:val="101C34"/>
          <w:sz w:val="22"/>
        </w:rPr>
        <w:t>Неурегулированный спор рассматривается судом по правилам подсудности, установленным законодательством Российской Федерации, если Стороны не согласовали допустимую законом договорную подсудность отдельным соглашением.</w:t>
      </w:r>
    </w:p>
    <w:p>
      <w:pPr>
        <w:pStyle w:val="Heading1"/>
      </w:pPr>
      <w:r>
        <w:t>9. Срок действия и прочие условия</w:t>
      </w:r>
    </w:p>
    <w:p>
      <w:pPr>
        <w:keepLines/>
      </w:pPr>
      <w:r>
        <w:rPr>
          <w:rFonts w:ascii="Calibri" w:hAnsi="Calibri"/>
          <w:b/>
          <w:i w:val="0"/>
          <w:color w:val="101C34"/>
          <w:sz w:val="22"/>
        </w:rPr>
        <w:t xml:space="preserve">9.1. </w:t>
      </w:r>
      <w:r>
        <w:rPr>
          <w:rFonts w:ascii="Calibri" w:hAnsi="Calibri"/>
          <w:b w:val="0"/>
          <w:i w:val="0"/>
          <w:color w:val="101C34"/>
          <w:sz w:val="22"/>
        </w:rPr>
        <w:t>Оферта действует с даты, указанной в её редакции, до её отзыва Исполнителем. Договор с конкретным Заказчиком вступает в силу в момент акцепта согласно разделу 5 и действует до полного исполнения обязательств.</w:t>
      </w:r>
    </w:p>
    <w:p>
      <w:pPr>
        <w:keepLines/>
      </w:pPr>
      <w:r>
        <w:rPr>
          <w:rFonts w:ascii="Calibri" w:hAnsi="Calibri"/>
          <w:b/>
          <w:i w:val="0"/>
          <w:color w:val="101C34"/>
          <w:sz w:val="22"/>
        </w:rPr>
        <w:t xml:space="preserve">9.2. </w:t>
      </w:r>
      <w:r>
        <w:rPr>
          <w:rFonts w:ascii="Calibri" w:hAnsi="Calibri"/>
          <w:b w:val="0"/>
          <w:i w:val="0"/>
          <w:color w:val="101C34"/>
          <w:sz w:val="22"/>
        </w:rPr>
        <w:t>Исполнитель вправе изменить Оферту для будущих акцептов. К уже заключённому договору применяется редакция, акцептованная Заказчиком; её изменение возможно только по письменному соглашению Сторон через ЭДО, email с подписанными документами или на бумаге.</w:t>
      </w:r>
    </w:p>
    <w:p>
      <w:pPr>
        <w:keepLines/>
      </w:pPr>
      <w:r>
        <w:rPr>
          <w:rFonts w:ascii="Calibri" w:hAnsi="Calibri"/>
          <w:b/>
          <w:i w:val="0"/>
          <w:color w:val="101C34"/>
          <w:sz w:val="22"/>
        </w:rPr>
        <w:t xml:space="preserve">9.3. </w:t>
      </w:r>
      <w:r>
        <w:rPr>
          <w:rFonts w:ascii="Calibri" w:hAnsi="Calibri"/>
          <w:b w:val="0"/>
          <w:i w:val="0"/>
          <w:color w:val="101C34"/>
          <w:sz w:val="22"/>
        </w:rPr>
        <w:t>Если отдельное условие Оферты или заключённого договора признано недействительным, остальные условия сохраняют силу.</w:t>
      </w:r>
    </w:p>
    <w:p>
      <w:r>
        <w:br w:type="page"/>
      </w:r>
    </w:p>
    <w:p>
      <w:pPr>
        <w:pStyle w:val="Heading1"/>
      </w:pPr>
      <w:r>
        <w:t>10. Реквизиты и подписи</w:t>
      </w:r>
    </w:p>
    <w:tbl>
      <w:tblPr>
        <w:tblW w:type="dxa" w:w="9638"/>
        <w:jc w:val="left"/>
        <w:tblLayout w:type="fixed"/>
        <w:tblLook w:firstColumn="1" w:firstRow="1" w:lastColumn="0" w:lastRow="0" w:noHBand="0" w:noVBand="1" w:val="04A0"/>
        <w:tblInd w:w="120" w:type="dxa"/>
      </w:tblPr>
      <w:tblGrid>
        <w:gridCol w:w="4819"/>
        <w:gridCol w:w="4819"/>
      </w:tblGrid>
      <w:tr>
        <w:tc>
          <w:tcPr>
            <w:tcW w:type="dxa" w:w="4819"/>
            <w:tcMar>
              <w:top w:w="80" w:type="dxa"/>
              <w:left w:w="120" w:type="dxa"/>
              <w:bottom w:w="80" w:type="dxa"/>
              <w:right w:w="120" w:type="dxa"/>
            </w:tcMar>
            <w:vAlign w:val="center"/>
            <w:shd w:fill="F2F4F7"/>
          </w:tcPr>
          <w:p>
            <w:r>
              <w:rPr>
                <w:rFonts w:ascii="Calibri" w:hAnsi="Calibri"/>
                <w:b/>
                <w:i w:val="0"/>
                <w:color w:val="101C34"/>
                <w:sz w:val="20"/>
              </w:rPr>
              <w:t>ЗАКАЗЧИК / АКЦЕПТАНТ</w:t>
            </w:r>
          </w:p>
          <w:p>
            <w:pPr>
              <w:spacing w:after="40"/>
            </w:pPr>
            <w:r>
              <w:rPr>
                <w:rFonts w:ascii="Calibri" w:hAnsi="Calibri"/>
                <w:b w:val="0"/>
                <w:i w:val="0"/>
                <w:color w:val="101C34"/>
                <w:sz w:val="18"/>
              </w:rPr>
              <w:t>[ПОЛНОЕ НАИМЕНОВАНИЕ]</w:t>
            </w:r>
          </w:p>
          <w:p>
            <w:pPr>
              <w:spacing w:after="40"/>
            </w:pPr>
            <w:r>
              <w:rPr>
                <w:rFonts w:ascii="Calibri" w:hAnsi="Calibri"/>
                <w:b w:val="0"/>
                <w:i w:val="0"/>
                <w:color w:val="101C34"/>
                <w:sz w:val="18"/>
              </w:rPr>
              <w:t>ИНН/КПП [__________]</w:t>
            </w:r>
          </w:p>
          <w:p>
            <w:pPr>
              <w:spacing w:after="40"/>
            </w:pPr>
            <w:r>
              <w:rPr>
                <w:rFonts w:ascii="Calibri" w:hAnsi="Calibri"/>
                <w:b w:val="0"/>
                <w:i w:val="0"/>
                <w:color w:val="101C34"/>
                <w:sz w:val="18"/>
              </w:rPr>
              <w:t>ОГРН/ОГРНИП [__________]</w:t>
            </w:r>
          </w:p>
          <w:p>
            <w:pPr>
              <w:spacing w:after="40"/>
            </w:pPr>
            <w:r>
              <w:rPr>
                <w:rFonts w:ascii="Calibri" w:hAnsi="Calibri"/>
                <w:b w:val="0"/>
                <w:i w:val="0"/>
                <w:color w:val="101C34"/>
                <w:sz w:val="18"/>
              </w:rPr>
              <w:t>Адрес: [____________________________]</w:t>
            </w:r>
          </w:p>
          <w:p>
            <w:pPr>
              <w:spacing w:after="40"/>
            </w:pPr>
            <w:r>
              <w:rPr>
                <w:rFonts w:ascii="Calibri" w:hAnsi="Calibri"/>
                <w:b w:val="0"/>
                <w:i w:val="0"/>
                <w:color w:val="101C34"/>
                <w:sz w:val="18"/>
              </w:rPr>
              <w:t>р/с [_______________________________]</w:t>
            </w:r>
          </w:p>
          <w:p>
            <w:pPr>
              <w:spacing w:after="40"/>
            </w:pPr>
            <w:r>
              <w:rPr>
                <w:rFonts w:ascii="Calibri" w:hAnsi="Calibri"/>
                <w:b w:val="0"/>
                <w:i w:val="0"/>
                <w:color w:val="101C34"/>
                <w:sz w:val="18"/>
              </w:rPr>
              <w:t>Банк [______________________________]</w:t>
            </w:r>
          </w:p>
          <w:p>
            <w:pPr>
              <w:spacing w:after="40"/>
            </w:pPr>
            <w:r>
              <w:rPr>
                <w:rFonts w:ascii="Calibri" w:hAnsi="Calibri"/>
                <w:b w:val="0"/>
                <w:i w:val="0"/>
                <w:color w:val="101C34"/>
                <w:sz w:val="18"/>
              </w:rPr>
              <w:t>БИК [__________], к/с [_____________]</w:t>
            </w:r>
          </w:p>
          <w:p>
            <w:pPr>
              <w:spacing w:after="40"/>
            </w:pPr>
            <w:r>
              <w:rPr>
                <w:rFonts w:ascii="Calibri" w:hAnsi="Calibri"/>
                <w:b w:val="0"/>
                <w:i w:val="0"/>
                <w:color w:val="101C34"/>
                <w:sz w:val="18"/>
              </w:rPr>
              <w:t>Email: [____________________________]</w:t>
            </w:r>
          </w:p>
          <w:p>
            <w:pPr>
              <w:spacing w:after="40"/>
            </w:pPr>
            <w:r>
              <w:rPr>
                <w:rFonts w:ascii="Calibri" w:hAnsi="Calibri"/>
                <w:b w:val="0"/>
                <w:i w:val="0"/>
                <w:color w:val="101C34"/>
                <w:sz w:val="18"/>
              </w:rPr>
            </w:r>
          </w:p>
          <w:p>
            <w:pPr>
              <w:spacing w:after="40"/>
            </w:pPr>
            <w:r>
              <w:rPr>
                <w:rFonts w:ascii="Calibri" w:hAnsi="Calibri"/>
                <w:b w:val="0"/>
                <w:i w:val="0"/>
                <w:color w:val="101C34"/>
                <w:sz w:val="18"/>
              </w:rPr>
              <w:t>____________ / [ФИО]</w:t>
            </w:r>
          </w:p>
        </w:tc>
        <w:tc>
          <w:tcPr>
            <w:tcW w:type="dxa" w:w="4819"/>
            <w:tcMar>
              <w:top w:w="80" w:type="dxa"/>
              <w:left w:w="120" w:type="dxa"/>
              <w:bottom w:w="80" w:type="dxa"/>
              <w:right w:w="120" w:type="dxa"/>
            </w:tcMar>
            <w:vAlign w:val="center"/>
            <w:shd w:fill="F2F4F7"/>
          </w:tcPr>
          <w:p>
            <w:r>
              <w:rPr>
                <w:rFonts w:ascii="Calibri" w:hAnsi="Calibri"/>
                <w:b/>
                <w:i w:val="0"/>
                <w:color w:val="101C34"/>
                <w:sz w:val="20"/>
              </w:rPr>
              <w:t>ИСПОЛНИТЕЛЬ</w:t>
            </w:r>
          </w:p>
          <w:p>
            <w:pPr>
              <w:spacing w:after="40"/>
            </w:pPr>
            <w:r>
              <w:rPr>
                <w:rFonts w:ascii="Calibri" w:hAnsi="Calibri"/>
                <w:b w:val="0"/>
                <w:i w:val="0"/>
                <w:color w:val="101C34"/>
                <w:sz w:val="18"/>
              </w:rPr>
              <w:t>ИП Зубченков Артем Владимирович</w:t>
            </w:r>
          </w:p>
          <w:p>
            <w:pPr>
              <w:spacing w:after="40"/>
            </w:pPr>
            <w:r>
              <w:rPr>
                <w:rFonts w:ascii="Calibri" w:hAnsi="Calibri"/>
                <w:b w:val="0"/>
                <w:i w:val="0"/>
                <w:color w:val="101C34"/>
                <w:sz w:val="18"/>
              </w:rPr>
              <w:t>ИНН 246508212448</w:t>
            </w:r>
          </w:p>
          <w:p>
            <w:pPr>
              <w:spacing w:after="40"/>
            </w:pPr>
            <w:r>
              <w:rPr>
                <w:rFonts w:ascii="Calibri" w:hAnsi="Calibri"/>
                <w:b w:val="0"/>
                <w:i w:val="0"/>
                <w:color w:val="101C34"/>
                <w:sz w:val="18"/>
              </w:rPr>
              <w:t>ОГРНИП 317246800111031</w:t>
            </w:r>
          </w:p>
          <w:p>
            <w:pPr>
              <w:spacing w:after="40"/>
            </w:pPr>
            <w:r>
              <w:rPr>
                <w:rFonts w:ascii="Calibri" w:hAnsi="Calibri"/>
                <w:b w:val="0"/>
                <w:i w:val="0"/>
                <w:color w:val="101C34"/>
                <w:sz w:val="18"/>
              </w:rPr>
              <w:t>Почтовый адрес: г. Санкт-Петербург, ул. Марата, д. 51, оф. 2-06</w:t>
            </w:r>
          </w:p>
          <w:p>
            <w:pPr>
              <w:spacing w:after="40"/>
            </w:pPr>
            <w:r>
              <w:rPr>
                <w:rFonts w:ascii="Calibri" w:hAnsi="Calibri"/>
                <w:b w:val="0"/>
                <w:i w:val="0"/>
                <w:color w:val="101C34"/>
                <w:sz w:val="18"/>
              </w:rPr>
              <w:t>р/с 40802810320000244966</w:t>
            </w:r>
          </w:p>
          <w:p>
            <w:pPr>
              <w:spacing w:after="40"/>
            </w:pPr>
            <w:r>
              <w:rPr>
                <w:rFonts w:ascii="Calibri" w:hAnsi="Calibri"/>
                <w:b w:val="0"/>
                <w:i w:val="0"/>
                <w:color w:val="101C34"/>
                <w:sz w:val="18"/>
              </w:rPr>
              <w:t>ООО «Банк Точка»</w:t>
            </w:r>
          </w:p>
          <w:p>
            <w:pPr>
              <w:spacing w:after="40"/>
            </w:pPr>
            <w:r>
              <w:rPr>
                <w:rFonts w:ascii="Calibri" w:hAnsi="Calibri"/>
                <w:b w:val="0"/>
                <w:i w:val="0"/>
                <w:color w:val="101C34"/>
                <w:sz w:val="18"/>
              </w:rPr>
              <w:t>БИК 044525104</w:t>
            </w:r>
          </w:p>
          <w:p>
            <w:pPr>
              <w:spacing w:after="40"/>
            </w:pPr>
            <w:r>
              <w:rPr>
                <w:rFonts w:ascii="Calibri" w:hAnsi="Calibri"/>
                <w:b w:val="0"/>
                <w:i w:val="0"/>
                <w:color w:val="101C34"/>
                <w:sz w:val="18"/>
              </w:rPr>
              <w:t>к/с 30101810745374525104</w:t>
            </w:r>
          </w:p>
          <w:p>
            <w:pPr>
              <w:spacing w:after="40"/>
            </w:pPr>
            <w:r>
              <w:rPr>
                <w:rFonts w:ascii="Calibri" w:hAnsi="Calibri"/>
                <w:b w:val="0"/>
                <w:i w:val="0"/>
                <w:color w:val="101C34"/>
                <w:sz w:val="18"/>
              </w:rPr>
              <w:t>Email: artemargum@gmail.com</w:t>
            </w:r>
          </w:p>
          <w:p>
            <w:pPr>
              <w:spacing w:after="40"/>
            </w:pPr>
            <w:r>
              <w:rPr>
                <w:rFonts w:ascii="Calibri" w:hAnsi="Calibri"/>
                <w:b w:val="0"/>
                <w:i w:val="0"/>
                <w:color w:val="101C34"/>
                <w:sz w:val="18"/>
              </w:rPr>
              <w:t>____________ / А.В. Зубченков</w:t>
            </w:r>
          </w:p>
        </w:tc>
      </w:tr>
    </w:tbl>
    <w:tbl>
      <w:tblPr>
        <w:tblW w:type="dxa" w:w="9638"/>
        <w:jc w:val="left"/>
        <w:tblLayout w:type="fixed"/>
        <w:tblLook w:firstColumn="1" w:firstRow="1" w:lastColumn="0" w:lastRow="0" w:noHBand="0" w:noVBand="1" w:val="04A0"/>
        <w:tblInd w:w="120" w:type="dxa"/>
      </w:tblPr>
      <w:tblGrid>
        <w:gridCol w:w="9638"/>
      </w:tblGrid>
      <w:tr>
        <w:tc>
          <w:tcPr>
            <w:tcW w:type="dxa" w:w="9638"/>
            <w:tcMar>
              <w:top w:w="80" w:type="dxa"/>
              <w:left w:w="120" w:type="dxa"/>
              <w:bottom w:w="80" w:type="dxa"/>
              <w:right w:w="120" w:type="dxa"/>
            </w:tcMar>
            <w:vAlign w:val="center"/>
            <w:shd w:fill="F2F4F7"/>
          </w:tcPr>
          <w:p>
            <w:pPr>
              <w:spacing w:after="60"/>
            </w:pPr>
            <w:r>
              <w:rPr>
                <w:rFonts w:ascii="Calibri" w:hAnsi="Calibri"/>
                <w:b/>
                <w:i w:val="0"/>
                <w:color w:val="101C34"/>
                <w:sz w:val="20"/>
              </w:rPr>
              <w:t>Справочная правовая основа</w:t>
            </w:r>
          </w:p>
          <w:p>
            <w:pPr>
              <w:spacing w:after="0"/>
            </w:pPr>
            <w:r>
              <w:rPr>
                <w:rFonts w:ascii="Calibri" w:hAnsi="Calibri"/>
                <w:b w:val="0"/>
                <w:i w:val="0"/>
                <w:color w:val="101C34"/>
                <w:sz w:val="18"/>
              </w:rPr>
              <w:t>Оферта и акцепт — статьи 435, 438 ГК РФ; письменная и электронная форма — статьи 160, 434 ГК РФ; УКЭП — статья 6 Федерального закона № 63-ФЗ; немедленное исполнение решения по упрощённому делу — статья 229 АПК РФ.</w:t>
            </w:r>
          </w:p>
        </w:tc>
      </w:tr>
    </w:tbl>
    <w:sectPr w:rsidR="00FC693F" w:rsidRPr="0006063C" w:rsidSect="00034616">
      <w:headerReference w:type="default" r:id="rId9"/>
      <w:footerReference w:type="default" r:id="rId10"/>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687184"/>
        <w:sz w:val="16"/>
      </w:rPr>
      <w:t xml:space="preserve">Страница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Calibri" w:hAnsi="Calibri"/>
        <w:b/>
        <w:i w:val="0"/>
        <w:color w:val="687184"/>
        <w:sz w:val="16"/>
      </w:rPr>
      <w:t>ВЗЫСКАНО  |  ОФЕРТА НА ЮРИДИЧЕСКИЕ УСЛУГИ</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01C3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